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 w:hAnsi="仿宋" w:eastAsia="仿宋" w:cs="仿宋"/>
          <w:b/>
          <w:bCs/>
          <w:sz w:val="32"/>
          <w:szCs w:val="32"/>
        </w:rPr>
      </w:pPr>
      <w:r>
        <w:rPr>
          <w:rFonts w:hint="eastAsia" w:ascii="仿宋" w:hAnsi="仿宋" w:eastAsia="仿宋" w:cs="仿宋"/>
          <w:b/>
          <w:bCs/>
          <w:sz w:val="32"/>
          <w:szCs w:val="32"/>
        </w:rPr>
        <w:t>广东轻工职业技术学院南海校区教学楼光蓬维修招标控制价</w:t>
      </w:r>
    </w:p>
    <w:p>
      <w:pPr>
        <w:jc w:val="center"/>
        <w:rPr>
          <w:rFonts w:ascii="仿宋" w:hAnsi="仿宋" w:eastAsia="仿宋" w:cs="仿宋"/>
          <w:b/>
          <w:bCs/>
          <w:sz w:val="32"/>
          <w:szCs w:val="32"/>
        </w:rPr>
      </w:pPr>
      <w:r>
        <w:rPr>
          <w:rFonts w:hint="eastAsia" w:ascii="仿宋" w:hAnsi="仿宋" w:eastAsia="仿宋" w:cs="仿宋"/>
          <w:b/>
          <w:bCs/>
          <w:sz w:val="32"/>
          <w:szCs w:val="32"/>
        </w:rPr>
        <w:t>编制说明</w:t>
      </w:r>
    </w:p>
    <w:p>
      <w:pPr>
        <w:spacing w:beforeLines="50"/>
        <w:ind w:left="516" w:leftChars="17" w:hanging="480" w:hangingChars="200"/>
        <w:jc w:val="center"/>
        <w:rPr>
          <w:rFonts w:ascii="仿宋" w:hAnsi="仿宋" w:eastAsia="仿宋" w:cs="仿宋"/>
          <w:sz w:val="24"/>
          <w:szCs w:val="24"/>
        </w:rPr>
      </w:pPr>
      <w:r>
        <w:rPr>
          <w:rFonts w:hint="eastAsia" w:ascii="仿宋" w:hAnsi="仿宋" w:eastAsia="仿宋" w:cs="仿宋"/>
          <w:sz w:val="24"/>
          <w:szCs w:val="24"/>
        </w:rPr>
        <w:t>盛建穗预字[2018]0</w:t>
      </w:r>
      <w:r>
        <w:rPr>
          <w:rFonts w:hint="eastAsia" w:ascii="仿宋" w:hAnsi="仿宋" w:eastAsia="仿宋" w:cs="仿宋"/>
          <w:sz w:val="24"/>
          <w:szCs w:val="24"/>
          <w:lang w:val="en-US" w:eastAsia="zh-CN"/>
        </w:rPr>
        <w:t>2</w:t>
      </w:r>
      <w:r>
        <w:rPr>
          <w:rFonts w:hint="eastAsia" w:ascii="仿宋" w:hAnsi="仿宋" w:eastAsia="仿宋" w:cs="仿宋"/>
          <w:sz w:val="24"/>
          <w:szCs w:val="24"/>
        </w:rPr>
        <w:t>0</w:t>
      </w:r>
      <w:r>
        <w:rPr>
          <w:rFonts w:hint="eastAsia" w:ascii="仿宋" w:hAnsi="仿宋" w:eastAsia="仿宋" w:cs="仿宋"/>
          <w:sz w:val="24"/>
          <w:szCs w:val="24"/>
          <w:lang w:val="en-US" w:eastAsia="zh-CN"/>
        </w:rPr>
        <w:t>14</w:t>
      </w:r>
      <w:r>
        <w:rPr>
          <w:rFonts w:hint="eastAsia" w:ascii="仿宋" w:hAnsi="仿宋" w:eastAsia="仿宋" w:cs="仿宋"/>
          <w:sz w:val="24"/>
          <w:szCs w:val="24"/>
        </w:rPr>
        <w:t>号</w:t>
      </w:r>
    </w:p>
    <w:p>
      <w:pPr>
        <w:rPr>
          <w:rFonts w:ascii="仿宋" w:hAnsi="仿宋" w:eastAsia="仿宋"/>
          <w:sz w:val="24"/>
          <w:szCs w:val="24"/>
        </w:rPr>
      </w:pPr>
    </w:p>
    <w:p>
      <w:pPr>
        <w:jc w:val="left"/>
        <w:rPr>
          <w:rFonts w:ascii="仿宋" w:hAnsi="仿宋" w:eastAsia="仿宋"/>
          <w:b/>
          <w:sz w:val="28"/>
          <w:szCs w:val="28"/>
        </w:rPr>
      </w:pPr>
      <w:r>
        <w:rPr>
          <w:rFonts w:hint="eastAsia" w:ascii="仿宋" w:hAnsi="仿宋" w:eastAsia="仿宋"/>
          <w:b/>
          <w:sz w:val="28"/>
          <w:szCs w:val="28"/>
        </w:rPr>
        <w:t>一. 工程概况</w:t>
      </w:r>
    </w:p>
    <w:p>
      <w:pPr>
        <w:jc w:val="left"/>
        <w:rPr>
          <w:rFonts w:ascii="仿宋" w:hAnsi="仿宋" w:eastAsia="仿宋"/>
          <w:sz w:val="28"/>
          <w:szCs w:val="28"/>
        </w:rPr>
      </w:pPr>
      <w:r>
        <w:rPr>
          <w:rFonts w:hint="eastAsia" w:ascii="仿宋" w:hAnsi="仿宋" w:eastAsia="仿宋"/>
          <w:sz w:val="28"/>
          <w:szCs w:val="28"/>
        </w:rPr>
        <w:t>1. 本工程为广东轻工职业技术学院南海校区教学楼光蓬维修，工程位于佛山市，属预算二类地区。</w:t>
      </w:r>
    </w:p>
    <w:p>
      <w:pPr>
        <w:spacing w:beforeLines="50"/>
        <w:jc w:val="left"/>
        <w:rPr>
          <w:rFonts w:ascii="仿宋" w:hAnsi="仿宋" w:eastAsia="仿宋"/>
          <w:sz w:val="28"/>
          <w:szCs w:val="28"/>
        </w:rPr>
      </w:pPr>
      <w:r>
        <w:rPr>
          <w:rFonts w:hint="eastAsia" w:ascii="仿宋" w:hAnsi="仿宋" w:eastAsia="仿宋"/>
          <w:sz w:val="28"/>
          <w:szCs w:val="28"/>
        </w:rPr>
        <w:t>2. 招标计价范围：教学楼A、B、D区采光天棚维修及光棚周边的内墙墙面、走廊梁柱的墙面翻新等。</w:t>
      </w:r>
    </w:p>
    <w:p>
      <w:pPr>
        <w:spacing w:beforeLines="100" w:afterLines="50"/>
        <w:rPr>
          <w:rFonts w:ascii="仿宋" w:hAnsi="仿宋" w:eastAsia="仿宋"/>
          <w:b/>
          <w:sz w:val="28"/>
          <w:szCs w:val="28"/>
        </w:rPr>
      </w:pPr>
      <w:r>
        <w:rPr>
          <w:rFonts w:hint="eastAsia" w:ascii="仿宋" w:hAnsi="仿宋" w:eastAsia="仿宋"/>
          <w:b/>
          <w:sz w:val="28"/>
          <w:szCs w:val="28"/>
        </w:rPr>
        <w:t>二.编制依据</w:t>
      </w:r>
    </w:p>
    <w:p>
      <w:pPr>
        <w:rPr>
          <w:rFonts w:ascii="仿宋" w:hAnsi="仿宋" w:eastAsia="仿宋"/>
          <w:sz w:val="28"/>
          <w:szCs w:val="28"/>
        </w:rPr>
      </w:pPr>
      <w:r>
        <w:rPr>
          <w:rFonts w:hint="eastAsia" w:ascii="仿宋" w:hAnsi="仿宋" w:eastAsia="仿宋"/>
          <w:sz w:val="28"/>
          <w:szCs w:val="28"/>
        </w:rPr>
        <w:t>1. 建设单位提供的施工图；</w:t>
      </w:r>
    </w:p>
    <w:p>
      <w:pPr>
        <w:spacing w:beforeLines="50"/>
        <w:rPr>
          <w:rFonts w:ascii="仿宋" w:hAnsi="仿宋" w:eastAsia="仿宋"/>
          <w:sz w:val="28"/>
          <w:szCs w:val="28"/>
        </w:rPr>
      </w:pPr>
      <w:r>
        <w:rPr>
          <w:rFonts w:hint="eastAsia" w:ascii="仿宋" w:hAnsi="仿宋" w:eastAsia="仿宋"/>
          <w:sz w:val="28"/>
          <w:szCs w:val="28"/>
        </w:rPr>
        <w:t>2.《建设工程工程量清单计价规范》GB50500-2013及粤建市函[2016]1113号文件；</w:t>
      </w:r>
    </w:p>
    <w:p>
      <w:pPr>
        <w:spacing w:beforeLines="50"/>
        <w:rPr>
          <w:rFonts w:ascii="仿宋" w:hAnsi="仿宋" w:eastAsia="仿宋"/>
          <w:sz w:val="28"/>
          <w:szCs w:val="28"/>
        </w:rPr>
      </w:pPr>
      <w:r>
        <w:rPr>
          <w:rFonts w:hint="eastAsia" w:ascii="仿宋" w:hAnsi="仿宋" w:eastAsia="仿宋"/>
          <w:sz w:val="28"/>
          <w:szCs w:val="28"/>
        </w:rPr>
        <w:t>3.《广东省建筑与装饰工程综合定额(2010)》，《广东省安装工程综合定额(2010)》。</w:t>
      </w:r>
    </w:p>
    <w:p>
      <w:pPr>
        <w:rPr>
          <w:rFonts w:ascii="仿宋" w:hAnsi="仿宋" w:eastAsia="仿宋"/>
          <w:sz w:val="24"/>
          <w:szCs w:val="24"/>
        </w:rPr>
      </w:pPr>
    </w:p>
    <w:p>
      <w:pPr>
        <w:rPr>
          <w:rFonts w:ascii="仿宋" w:hAnsi="仿宋" w:eastAsia="仿宋"/>
          <w:b/>
          <w:sz w:val="28"/>
          <w:szCs w:val="28"/>
        </w:rPr>
      </w:pPr>
      <w:r>
        <w:rPr>
          <w:rFonts w:hint="eastAsia" w:ascii="仿宋" w:hAnsi="仿宋" w:eastAsia="仿宋"/>
          <w:b/>
          <w:sz w:val="28"/>
          <w:szCs w:val="28"/>
        </w:rPr>
        <w:t>三.计价情况说明</w:t>
      </w:r>
    </w:p>
    <w:p>
      <w:pPr>
        <w:rPr>
          <w:rFonts w:ascii="仿宋" w:hAnsi="仿宋" w:eastAsia="仿宋"/>
          <w:sz w:val="28"/>
          <w:szCs w:val="28"/>
        </w:rPr>
      </w:pPr>
      <w:r>
        <w:rPr>
          <w:rFonts w:hint="eastAsia" w:ascii="仿宋" w:hAnsi="仿宋" w:eastAsia="仿宋"/>
          <w:sz w:val="28"/>
          <w:szCs w:val="28"/>
        </w:rPr>
        <w:t>1. 工程量根据业主提供的施工图计算，考虑合理的建筑构造和实际施工的需要，结合建设方的要求，计价中对图纸个别表达不够详尽的构造内容参照常规做法做了完善调整，详见工程量清单特征描述。</w:t>
      </w:r>
    </w:p>
    <w:p>
      <w:pPr>
        <w:spacing w:beforeLines="50"/>
        <w:rPr>
          <w:rFonts w:ascii="仿宋" w:hAnsi="仿宋" w:eastAsia="仿宋"/>
          <w:sz w:val="28"/>
          <w:szCs w:val="28"/>
        </w:rPr>
      </w:pPr>
      <w:r>
        <w:rPr>
          <w:rFonts w:hint="eastAsia" w:ascii="仿宋" w:hAnsi="仿宋" w:eastAsia="仿宋"/>
          <w:sz w:val="28"/>
          <w:szCs w:val="28"/>
        </w:rPr>
        <w:t>2.计价取费按佛山市现行工程计价有关政策文件执行，其中项目安全文明施工措施费率为3.074%，</w:t>
      </w:r>
      <w:r>
        <w:rPr>
          <w:rFonts w:ascii="仿宋" w:hAnsi="仿宋" w:eastAsia="仿宋"/>
          <w:sz w:val="28"/>
          <w:szCs w:val="28"/>
        </w:rPr>
        <w:t>预算包干费应建设单位统一要求按</w:t>
      </w:r>
      <w:r>
        <w:rPr>
          <w:rFonts w:hint="eastAsia" w:ascii="仿宋" w:hAnsi="仿宋" w:eastAsia="仿宋"/>
          <w:sz w:val="28"/>
          <w:szCs w:val="28"/>
        </w:rPr>
        <w:t>1%计取。预算执行粤建市函[2016]1113号文件按增值税模式计价，税率11%。</w:t>
      </w:r>
    </w:p>
    <w:p>
      <w:pPr>
        <w:spacing w:beforeLines="50"/>
        <w:rPr>
          <w:rFonts w:ascii="仿宋" w:hAnsi="仿宋" w:eastAsia="仿宋"/>
          <w:sz w:val="28"/>
          <w:szCs w:val="28"/>
        </w:rPr>
      </w:pPr>
      <w:r>
        <w:rPr>
          <w:rFonts w:hint="eastAsia" w:ascii="仿宋" w:hAnsi="仿宋" w:eastAsia="仿宋"/>
          <w:sz w:val="28"/>
          <w:szCs w:val="28"/>
        </w:rPr>
        <w:t xml:space="preserve">   3. 预算的工料机单价按佛山市2017年第四季度的信息指导价执行；部分材设价格参考了建设单位过往工程的价格；以上均缺项的参考临近地区信息价和市场价确定，均为不含税单价。</w:t>
      </w:r>
    </w:p>
    <w:p>
      <w:pPr>
        <w:spacing w:beforeLines="50"/>
        <w:ind w:left="1" w:firstLine="422" w:firstLineChars="151"/>
        <w:rPr>
          <w:rFonts w:ascii="仿宋" w:hAnsi="仿宋" w:eastAsia="仿宋"/>
          <w:sz w:val="28"/>
          <w:szCs w:val="28"/>
        </w:rPr>
      </w:pPr>
      <w:r>
        <w:rPr>
          <w:rFonts w:hint="eastAsia" w:ascii="仿宋" w:hAnsi="仿宋" w:eastAsia="仿宋"/>
          <w:sz w:val="28"/>
          <w:szCs w:val="28"/>
        </w:rPr>
        <w:t>4.本工程中采光天棚钢化夹胶玻璃按暂估工程计。</w:t>
      </w:r>
    </w:p>
    <w:p>
      <w:pPr>
        <w:spacing w:beforeLines="50"/>
        <w:ind w:left="1" w:firstLine="422" w:firstLineChars="151"/>
        <w:rPr>
          <w:rFonts w:ascii="仿宋" w:hAnsi="仿宋" w:eastAsia="仿宋"/>
          <w:sz w:val="28"/>
          <w:szCs w:val="28"/>
        </w:rPr>
      </w:pPr>
      <w:r>
        <w:rPr>
          <w:rFonts w:hint="eastAsia" w:ascii="仿宋" w:hAnsi="仿宋" w:eastAsia="仿宋"/>
          <w:sz w:val="28"/>
          <w:szCs w:val="28"/>
        </w:rPr>
        <w:t>5. 所有拆除废料未考虑残值回收；建筑垃圾外运距离按20km计算。</w:t>
      </w:r>
    </w:p>
    <w:p>
      <w:pPr>
        <w:spacing w:beforeLines="50"/>
        <w:rPr>
          <w:rFonts w:ascii="仿宋" w:hAnsi="仿宋" w:eastAsia="仿宋"/>
          <w:b/>
          <w:sz w:val="28"/>
          <w:szCs w:val="28"/>
        </w:rPr>
      </w:pPr>
      <w:r>
        <w:rPr>
          <w:rFonts w:hint="eastAsia" w:ascii="仿宋" w:hAnsi="仿宋" w:eastAsia="仿宋"/>
          <w:b/>
          <w:sz w:val="28"/>
          <w:szCs w:val="28"/>
        </w:rPr>
        <w:t>四.计价结果</w:t>
      </w:r>
    </w:p>
    <w:p>
      <w:pPr>
        <w:ind w:firstLine="560" w:firstLineChars="200"/>
        <w:rPr>
          <w:rFonts w:ascii="仿宋" w:hAnsi="仿宋" w:eastAsia="仿宋"/>
          <w:sz w:val="28"/>
          <w:szCs w:val="28"/>
        </w:rPr>
      </w:pPr>
      <w:r>
        <w:rPr>
          <w:rFonts w:hint="eastAsia" w:ascii="仿宋" w:hAnsi="仿宋" w:eastAsia="仿宋"/>
          <w:sz w:val="28"/>
          <w:szCs w:val="28"/>
        </w:rPr>
        <w:t>本工程招标控制价总造价为3</w:t>
      </w:r>
      <w:r>
        <w:rPr>
          <w:rFonts w:hint="eastAsia" w:ascii="仿宋" w:hAnsi="仿宋" w:eastAsia="仿宋"/>
          <w:sz w:val="28"/>
          <w:szCs w:val="28"/>
          <w:lang w:val="en-US" w:eastAsia="zh-CN"/>
        </w:rPr>
        <w:t>,</w:t>
      </w:r>
      <w:r>
        <w:rPr>
          <w:rFonts w:hint="eastAsia" w:ascii="仿宋" w:hAnsi="仿宋" w:eastAsia="仿宋"/>
          <w:sz w:val="28"/>
          <w:szCs w:val="28"/>
        </w:rPr>
        <w:t>571</w:t>
      </w:r>
      <w:r>
        <w:rPr>
          <w:rFonts w:hint="eastAsia" w:ascii="仿宋" w:hAnsi="仿宋" w:eastAsia="仿宋"/>
          <w:sz w:val="28"/>
          <w:szCs w:val="28"/>
          <w:lang w:val="en-US" w:eastAsia="zh-CN"/>
        </w:rPr>
        <w:t>,</w:t>
      </w:r>
      <w:r>
        <w:rPr>
          <w:rFonts w:hint="eastAsia" w:ascii="仿宋" w:hAnsi="仿宋" w:eastAsia="仿宋"/>
          <w:sz w:val="28"/>
          <w:szCs w:val="28"/>
        </w:rPr>
        <w:t>163.6</w:t>
      </w:r>
      <w:r>
        <w:rPr>
          <w:rFonts w:ascii="仿宋" w:hAnsi="仿宋" w:eastAsia="仿宋"/>
          <w:sz w:val="28"/>
          <w:szCs w:val="28"/>
        </w:rPr>
        <w:t>元，其中：安全文明施工措施费为</w:t>
      </w:r>
      <w:r>
        <w:rPr>
          <w:rFonts w:hint="eastAsia" w:ascii="宋体" w:hAnsi="宋体"/>
          <w:color w:val="333333"/>
          <w:sz w:val="28"/>
          <w:szCs w:val="28"/>
          <w:u w:val="none"/>
          <w:lang w:val="en-US" w:eastAsia="zh-CN"/>
        </w:rPr>
        <w:t>236,732.47</w:t>
      </w:r>
      <w:r>
        <w:rPr>
          <w:rFonts w:ascii="仿宋" w:hAnsi="仿宋" w:eastAsia="仿宋"/>
          <w:sz w:val="28"/>
          <w:szCs w:val="28"/>
        </w:rPr>
        <w:t>元，</w:t>
      </w:r>
      <w:r>
        <w:rPr>
          <w:rFonts w:hint="eastAsia" w:ascii="宋体" w:hAnsi="宋体"/>
          <w:color w:val="333333"/>
          <w:sz w:val="28"/>
          <w:szCs w:val="28"/>
          <w:u w:val="none"/>
          <w:lang w:val="en-US" w:eastAsia="zh-CN"/>
        </w:rPr>
        <w:t>绿化施工措施费为</w:t>
      </w:r>
      <w:r>
        <w:rPr>
          <w:rFonts w:hint="eastAsia" w:ascii="宋体" w:hAnsi="宋体"/>
          <w:color w:val="333333"/>
          <w:sz w:val="28"/>
          <w:szCs w:val="28"/>
          <w:u w:val="none"/>
          <w:lang w:val="en-US" w:eastAsia="zh-CN"/>
        </w:rPr>
        <w:t>7,032.6元</w:t>
      </w:r>
      <w:bookmarkStart w:id="0" w:name="_GoBack"/>
      <w:bookmarkEnd w:id="0"/>
      <w:r>
        <w:rPr>
          <w:rFonts w:hint="eastAsia" w:ascii="宋体" w:hAnsi="宋体"/>
          <w:color w:val="333333"/>
          <w:sz w:val="28"/>
          <w:szCs w:val="28"/>
          <w:u w:val="none"/>
          <w:lang w:val="en-US" w:eastAsia="zh-CN"/>
        </w:rPr>
        <w:t>，</w:t>
      </w:r>
      <w:r>
        <w:rPr>
          <w:rFonts w:hint="eastAsia" w:ascii="仿宋" w:hAnsi="仿宋" w:eastAsia="仿宋"/>
          <w:sz w:val="28"/>
          <w:szCs w:val="28"/>
        </w:rPr>
        <w:t>暂列金额为202</w:t>
      </w:r>
      <w:r>
        <w:rPr>
          <w:rFonts w:hint="eastAsia" w:ascii="仿宋" w:hAnsi="仿宋" w:eastAsia="仿宋"/>
          <w:sz w:val="28"/>
          <w:szCs w:val="28"/>
          <w:lang w:val="en-US" w:eastAsia="zh-CN"/>
        </w:rPr>
        <w:t>,</w:t>
      </w:r>
      <w:r>
        <w:rPr>
          <w:rFonts w:hint="eastAsia" w:ascii="仿宋" w:hAnsi="仿宋" w:eastAsia="仿宋"/>
          <w:sz w:val="28"/>
          <w:szCs w:val="28"/>
        </w:rPr>
        <w:t>187.14，详见单位工程造价汇总表。</w:t>
      </w:r>
    </w:p>
    <w:p>
      <w:pPr>
        <w:rPr>
          <w:rFonts w:ascii="仿宋" w:hAnsi="仿宋" w:eastAsia="仿宋"/>
          <w:sz w:val="24"/>
          <w:szCs w:val="24"/>
        </w:rPr>
      </w:pPr>
    </w:p>
    <w:p>
      <w:pPr>
        <w:rPr>
          <w:rFonts w:ascii="仿宋" w:hAnsi="仿宋" w:eastAsia="仿宋"/>
          <w:sz w:val="24"/>
          <w:szCs w:val="24"/>
        </w:rPr>
      </w:pPr>
    </w:p>
    <w:p>
      <w:pPr>
        <w:rPr>
          <w:rFonts w:ascii="仿宋" w:hAnsi="仿宋" w:eastAsia="仿宋"/>
          <w:sz w:val="24"/>
          <w:szCs w:val="24"/>
        </w:rPr>
      </w:pPr>
    </w:p>
    <w:p>
      <w:pPr>
        <w:spacing w:beforeLines="50"/>
        <w:ind w:left="359" w:leftChars="171" w:firstLine="140" w:firstLineChars="50"/>
        <w:jc w:val="right"/>
        <w:rPr>
          <w:rFonts w:ascii="仿宋" w:hAnsi="仿宋" w:eastAsia="仿宋"/>
          <w:sz w:val="28"/>
          <w:szCs w:val="28"/>
        </w:rPr>
      </w:pPr>
      <w:r>
        <w:rPr>
          <w:rFonts w:hint="eastAsia" w:ascii="仿宋" w:hAnsi="仿宋" w:eastAsia="仿宋" w:cs="仿宋"/>
          <w:sz w:val="28"/>
          <w:szCs w:val="28"/>
        </w:rPr>
        <w:t>广东盛建工程事务咨询有限公司</w:t>
      </w:r>
    </w:p>
    <w:p>
      <w:pPr>
        <w:ind w:left="359" w:leftChars="171" w:firstLine="140" w:firstLineChars="50"/>
        <w:jc w:val="right"/>
        <w:rPr>
          <w:rFonts w:ascii="仿宋" w:hAnsi="仿宋" w:eastAsia="仿宋"/>
          <w:sz w:val="28"/>
          <w:szCs w:val="28"/>
        </w:rPr>
      </w:pPr>
      <w:r>
        <w:rPr>
          <w:rFonts w:ascii="仿宋" w:hAnsi="仿宋" w:eastAsia="仿宋" w:cs="仿宋"/>
          <w:sz w:val="28"/>
          <w:szCs w:val="28"/>
        </w:rPr>
        <w:t>201</w:t>
      </w:r>
      <w:r>
        <w:rPr>
          <w:rFonts w:hint="eastAsia" w:ascii="仿宋" w:hAnsi="仿宋" w:eastAsia="仿宋" w:cs="仿宋"/>
          <w:sz w:val="28"/>
          <w:szCs w:val="28"/>
        </w:rPr>
        <w:t>8年</w:t>
      </w:r>
      <w:r>
        <w:rPr>
          <w:rFonts w:hint="eastAsia" w:ascii="仿宋" w:hAnsi="仿宋" w:eastAsia="仿宋" w:cs="仿宋"/>
          <w:sz w:val="28"/>
          <w:szCs w:val="28"/>
          <w:lang w:val="en-US" w:eastAsia="zh-CN"/>
        </w:rPr>
        <w:t>4</w:t>
      </w:r>
      <w:r>
        <w:rPr>
          <w:rFonts w:hint="eastAsia" w:ascii="仿宋" w:hAnsi="仿宋" w:eastAsia="仿宋" w:cs="仿宋"/>
          <w:sz w:val="28"/>
          <w:szCs w:val="28"/>
        </w:rPr>
        <w:t>月</w:t>
      </w:r>
      <w:r>
        <w:rPr>
          <w:rFonts w:hint="eastAsia" w:ascii="仿宋" w:hAnsi="仿宋" w:eastAsia="仿宋" w:cs="仿宋"/>
          <w:sz w:val="28"/>
          <w:szCs w:val="28"/>
          <w:lang w:val="en-US" w:eastAsia="zh-CN"/>
        </w:rPr>
        <w:t>19</w:t>
      </w:r>
      <w:r>
        <w:rPr>
          <w:rFonts w:hint="eastAsia" w:ascii="仿宋" w:hAnsi="仿宋" w:eastAsia="仿宋" w:cs="仿宋"/>
          <w:sz w:val="28"/>
          <w:szCs w:val="28"/>
        </w:rPr>
        <w:t>日</w:t>
      </w:r>
    </w:p>
    <w:p>
      <w:pPr>
        <w:rPr>
          <w:rFonts w:ascii="仿宋" w:hAnsi="仿宋" w:eastAsia="仿宋"/>
          <w:sz w:val="24"/>
          <w:szCs w:val="24"/>
        </w:rPr>
      </w:pPr>
    </w:p>
    <w:sectPr>
      <w:footerReference r:id="rId3" w:type="default"/>
      <w:pgSz w:w="11906" w:h="16838"/>
      <w:pgMar w:top="1134" w:right="1247" w:bottom="1134" w:left="1588" w:header="680" w:footer="45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461613"/>
      <w:docPartObj>
        <w:docPartGallery w:val="autotext"/>
      </w:docPartObj>
    </w:sdtPr>
    <w:sdtContent>
      <w:sdt>
        <w:sdtPr>
          <w:id w:val="171357217"/>
          <w:docPartObj>
            <w:docPartGallery w:val="autotext"/>
          </w:docPartObj>
        </w:sdtPr>
        <w:sdtContent>
          <w:p>
            <w:pPr>
              <w:pStyle w:val="2"/>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w:t>
            </w:r>
            <w:r>
              <w:rPr>
                <w:b/>
                <w:sz w:val="24"/>
                <w:szCs w:val="24"/>
              </w:rPr>
              <w:fldChar w:fldCharType="end"/>
            </w:r>
          </w:p>
        </w:sdtContent>
      </w:sdt>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B7AB0"/>
    <w:rsid w:val="000229B5"/>
    <w:rsid w:val="0004329E"/>
    <w:rsid w:val="00047A72"/>
    <w:rsid w:val="00057E5F"/>
    <w:rsid w:val="00064D4A"/>
    <w:rsid w:val="00075BAA"/>
    <w:rsid w:val="000A064D"/>
    <w:rsid w:val="000E1C7F"/>
    <w:rsid w:val="000F2788"/>
    <w:rsid w:val="00102B72"/>
    <w:rsid w:val="0012143E"/>
    <w:rsid w:val="00122543"/>
    <w:rsid w:val="00123687"/>
    <w:rsid w:val="001312D3"/>
    <w:rsid w:val="00134EC0"/>
    <w:rsid w:val="0015457F"/>
    <w:rsid w:val="00171CFE"/>
    <w:rsid w:val="0018151C"/>
    <w:rsid w:val="00190312"/>
    <w:rsid w:val="001941B2"/>
    <w:rsid w:val="001975B0"/>
    <w:rsid w:val="001A109A"/>
    <w:rsid w:val="001B7908"/>
    <w:rsid w:val="001C7071"/>
    <w:rsid w:val="001D4D36"/>
    <w:rsid w:val="00211B7C"/>
    <w:rsid w:val="0023044C"/>
    <w:rsid w:val="0025670C"/>
    <w:rsid w:val="0026700E"/>
    <w:rsid w:val="00273D33"/>
    <w:rsid w:val="002939C7"/>
    <w:rsid w:val="002B49C0"/>
    <w:rsid w:val="002D10D8"/>
    <w:rsid w:val="002D58AC"/>
    <w:rsid w:val="002E708B"/>
    <w:rsid w:val="002F42C4"/>
    <w:rsid w:val="003054CD"/>
    <w:rsid w:val="003235A4"/>
    <w:rsid w:val="0033171A"/>
    <w:rsid w:val="003324B4"/>
    <w:rsid w:val="00337824"/>
    <w:rsid w:val="003413FC"/>
    <w:rsid w:val="0034260F"/>
    <w:rsid w:val="003719D5"/>
    <w:rsid w:val="00383778"/>
    <w:rsid w:val="00393B70"/>
    <w:rsid w:val="00395583"/>
    <w:rsid w:val="003A1615"/>
    <w:rsid w:val="003C0150"/>
    <w:rsid w:val="003E51A0"/>
    <w:rsid w:val="003E67ED"/>
    <w:rsid w:val="00404983"/>
    <w:rsid w:val="0041379E"/>
    <w:rsid w:val="00414072"/>
    <w:rsid w:val="00465CB1"/>
    <w:rsid w:val="004801F9"/>
    <w:rsid w:val="00486712"/>
    <w:rsid w:val="004B0339"/>
    <w:rsid w:val="004B5DB5"/>
    <w:rsid w:val="00500C24"/>
    <w:rsid w:val="00506589"/>
    <w:rsid w:val="005074B7"/>
    <w:rsid w:val="00514E87"/>
    <w:rsid w:val="00520A4E"/>
    <w:rsid w:val="005243ED"/>
    <w:rsid w:val="005306E7"/>
    <w:rsid w:val="00533880"/>
    <w:rsid w:val="0056594F"/>
    <w:rsid w:val="00576DB5"/>
    <w:rsid w:val="005779FB"/>
    <w:rsid w:val="00585ECB"/>
    <w:rsid w:val="00585F49"/>
    <w:rsid w:val="005944E8"/>
    <w:rsid w:val="005C2862"/>
    <w:rsid w:val="005C4581"/>
    <w:rsid w:val="005C5372"/>
    <w:rsid w:val="005D7A1E"/>
    <w:rsid w:val="005F62B9"/>
    <w:rsid w:val="00636D34"/>
    <w:rsid w:val="00646200"/>
    <w:rsid w:val="00651E76"/>
    <w:rsid w:val="006552FA"/>
    <w:rsid w:val="00684AC2"/>
    <w:rsid w:val="00686234"/>
    <w:rsid w:val="006B0AC0"/>
    <w:rsid w:val="006B34F5"/>
    <w:rsid w:val="006B6168"/>
    <w:rsid w:val="006C5DE0"/>
    <w:rsid w:val="006F235D"/>
    <w:rsid w:val="00703DF4"/>
    <w:rsid w:val="00704FCE"/>
    <w:rsid w:val="00711700"/>
    <w:rsid w:val="00711E91"/>
    <w:rsid w:val="00725A22"/>
    <w:rsid w:val="00752DD8"/>
    <w:rsid w:val="0076320F"/>
    <w:rsid w:val="0077616E"/>
    <w:rsid w:val="00777713"/>
    <w:rsid w:val="00785C7C"/>
    <w:rsid w:val="007905D2"/>
    <w:rsid w:val="007A2EEC"/>
    <w:rsid w:val="007B6F78"/>
    <w:rsid w:val="007B7AB0"/>
    <w:rsid w:val="007C1EE5"/>
    <w:rsid w:val="007F0EEE"/>
    <w:rsid w:val="00816430"/>
    <w:rsid w:val="00844C78"/>
    <w:rsid w:val="008479F5"/>
    <w:rsid w:val="00857A33"/>
    <w:rsid w:val="008737D2"/>
    <w:rsid w:val="00873B9C"/>
    <w:rsid w:val="0088128D"/>
    <w:rsid w:val="0089280C"/>
    <w:rsid w:val="008A1149"/>
    <w:rsid w:val="008A1638"/>
    <w:rsid w:val="008E380D"/>
    <w:rsid w:val="008E3B0E"/>
    <w:rsid w:val="009302B7"/>
    <w:rsid w:val="00950450"/>
    <w:rsid w:val="00953D0E"/>
    <w:rsid w:val="00965EBE"/>
    <w:rsid w:val="009752D7"/>
    <w:rsid w:val="0098738D"/>
    <w:rsid w:val="009A7FF2"/>
    <w:rsid w:val="009B2D3C"/>
    <w:rsid w:val="009D00BA"/>
    <w:rsid w:val="00A35E88"/>
    <w:rsid w:val="00A55B21"/>
    <w:rsid w:val="00A75F01"/>
    <w:rsid w:val="00A82559"/>
    <w:rsid w:val="00A82DD5"/>
    <w:rsid w:val="00A87B90"/>
    <w:rsid w:val="00AA3681"/>
    <w:rsid w:val="00AA6346"/>
    <w:rsid w:val="00AB09AF"/>
    <w:rsid w:val="00AB39A5"/>
    <w:rsid w:val="00AB4456"/>
    <w:rsid w:val="00AD1093"/>
    <w:rsid w:val="00AD7941"/>
    <w:rsid w:val="00AF0BAB"/>
    <w:rsid w:val="00B02FE9"/>
    <w:rsid w:val="00B36529"/>
    <w:rsid w:val="00B457BB"/>
    <w:rsid w:val="00B63933"/>
    <w:rsid w:val="00B769DE"/>
    <w:rsid w:val="00B871E9"/>
    <w:rsid w:val="00B975AF"/>
    <w:rsid w:val="00BA48C7"/>
    <w:rsid w:val="00BB1B81"/>
    <w:rsid w:val="00BC425E"/>
    <w:rsid w:val="00BD0C3C"/>
    <w:rsid w:val="00BD5C63"/>
    <w:rsid w:val="00BE39E1"/>
    <w:rsid w:val="00BE4246"/>
    <w:rsid w:val="00BE5994"/>
    <w:rsid w:val="00C16165"/>
    <w:rsid w:val="00C201DD"/>
    <w:rsid w:val="00C25BC8"/>
    <w:rsid w:val="00C34669"/>
    <w:rsid w:val="00C3481E"/>
    <w:rsid w:val="00C4182C"/>
    <w:rsid w:val="00C41CD2"/>
    <w:rsid w:val="00C42834"/>
    <w:rsid w:val="00C6160F"/>
    <w:rsid w:val="00C81F54"/>
    <w:rsid w:val="00C85CB9"/>
    <w:rsid w:val="00C95E6F"/>
    <w:rsid w:val="00CB5871"/>
    <w:rsid w:val="00CD2AAF"/>
    <w:rsid w:val="00CE5953"/>
    <w:rsid w:val="00CF72D5"/>
    <w:rsid w:val="00D06DA2"/>
    <w:rsid w:val="00D20B44"/>
    <w:rsid w:val="00D24DEC"/>
    <w:rsid w:val="00D431CB"/>
    <w:rsid w:val="00D55536"/>
    <w:rsid w:val="00D55BC9"/>
    <w:rsid w:val="00D56F55"/>
    <w:rsid w:val="00D83B42"/>
    <w:rsid w:val="00D9462F"/>
    <w:rsid w:val="00D96142"/>
    <w:rsid w:val="00DA1AED"/>
    <w:rsid w:val="00DA2D5B"/>
    <w:rsid w:val="00DA723A"/>
    <w:rsid w:val="00DC22C6"/>
    <w:rsid w:val="00DF3BE6"/>
    <w:rsid w:val="00DF3EAD"/>
    <w:rsid w:val="00E11785"/>
    <w:rsid w:val="00E13AC1"/>
    <w:rsid w:val="00E2222F"/>
    <w:rsid w:val="00E4059B"/>
    <w:rsid w:val="00E40A20"/>
    <w:rsid w:val="00E52D83"/>
    <w:rsid w:val="00E56082"/>
    <w:rsid w:val="00E8061A"/>
    <w:rsid w:val="00E90DA4"/>
    <w:rsid w:val="00E95042"/>
    <w:rsid w:val="00EA12A9"/>
    <w:rsid w:val="00EB3C52"/>
    <w:rsid w:val="00ED4CB1"/>
    <w:rsid w:val="00F3453B"/>
    <w:rsid w:val="00F43F56"/>
    <w:rsid w:val="00F46A96"/>
    <w:rsid w:val="00F53608"/>
    <w:rsid w:val="00F56254"/>
    <w:rsid w:val="00F62D1F"/>
    <w:rsid w:val="00F7459E"/>
    <w:rsid w:val="00FA798B"/>
    <w:rsid w:val="00FF31E6"/>
    <w:rsid w:val="00FF5D8D"/>
    <w:rsid w:val="02502644"/>
    <w:rsid w:val="07AA7473"/>
    <w:rsid w:val="13C142EB"/>
    <w:rsid w:val="34F74E44"/>
    <w:rsid w:val="3E5D457D"/>
    <w:rsid w:val="4DA7550D"/>
    <w:rsid w:val="51C87A82"/>
    <w:rsid w:val="5F097EE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99"/>
    <w:rPr>
      <w:sz w:val="18"/>
      <w:szCs w:val="18"/>
    </w:rPr>
  </w:style>
  <w:style w:type="character" w:customStyle="1" w:styleId="7">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109</Words>
  <Characters>625</Characters>
  <Lines>5</Lines>
  <Paragraphs>1</Paragraphs>
  <ScaleCrop>false</ScaleCrop>
  <LinksUpToDate>false</LinksUpToDate>
  <CharactersWithSpaces>733</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2016-11-30T09:41:00Z</dcterms:created>
  <dc:creator>lingyunzhuangzhi</dc:creator>
  <cp:lastModifiedBy>Administrator</cp:lastModifiedBy>
  <cp:lastPrinted>2018-01-03T06:27:00Z</cp:lastPrinted>
  <dcterms:modified xsi:type="dcterms:W3CDTF">2018-04-19T09:02:07Z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